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3A4A" w14:textId="6F12ED48" w:rsidR="00F16D87" w:rsidRDefault="0097761C">
      <w:r>
        <w:rPr>
          <w:b/>
          <w:bCs/>
        </w:rPr>
        <w:t xml:space="preserve">TGNA Monthly Newsletter: </w:t>
      </w:r>
      <w:r w:rsidR="00890B86">
        <w:rPr>
          <w:b/>
          <w:bCs/>
        </w:rPr>
        <w:t>April</w:t>
      </w:r>
      <w:r w:rsidR="00F16D87" w:rsidRPr="00F16D87">
        <w:rPr>
          <w:b/>
          <w:bCs/>
        </w:rPr>
        <w:t xml:space="preserve"> 2026</w:t>
      </w:r>
      <w:r w:rsidR="00F16D87" w:rsidRPr="00F16D87">
        <w:rPr>
          <w:b/>
          <w:bCs/>
        </w:rPr>
        <w:br/>
      </w:r>
      <w:r w:rsidR="00F16D87">
        <w:rPr>
          <w:noProof/>
        </w:rPr>
        <w:drawing>
          <wp:inline distT="0" distB="0" distL="0" distR="0" wp14:anchorId="01359F81" wp14:editId="0CD7F2D1">
            <wp:extent cx="5943600" cy="1216660"/>
            <wp:effectExtent l="19050" t="19050" r="19050" b="21590"/>
            <wp:docPr id="1070099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99001" name="Picture 1070099001"/>
                    <pic:cNvPicPr/>
                  </pic:nvPicPr>
                  <pic:blipFill>
                    <a:blip r:embed="rId5">
                      <a:extLst>
                        <a:ext uri="{28A0092B-C50C-407E-A947-70E740481C1C}">
                          <a14:useLocalDpi xmlns:a14="http://schemas.microsoft.com/office/drawing/2010/main" val="0"/>
                        </a:ext>
                      </a:extLst>
                    </a:blip>
                    <a:stretch>
                      <a:fillRect/>
                    </a:stretch>
                  </pic:blipFill>
                  <pic:spPr>
                    <a:xfrm>
                      <a:off x="0" y="0"/>
                      <a:ext cx="5943600" cy="1216660"/>
                    </a:xfrm>
                    <a:prstGeom prst="rect">
                      <a:avLst/>
                    </a:prstGeom>
                    <a:ln>
                      <a:solidFill>
                        <a:schemeClr val="tx1"/>
                      </a:solidFill>
                    </a:ln>
                  </pic:spPr>
                </pic:pic>
              </a:graphicData>
            </a:graphic>
          </wp:inline>
        </w:drawing>
      </w:r>
    </w:p>
    <w:tbl>
      <w:tblPr>
        <w:tblStyle w:val="TableGrid"/>
        <w:tblW w:w="0" w:type="auto"/>
        <w:tblLook w:val="04A0" w:firstRow="1" w:lastRow="0" w:firstColumn="1" w:lastColumn="0" w:noHBand="0" w:noVBand="1"/>
      </w:tblPr>
      <w:tblGrid>
        <w:gridCol w:w="9360"/>
      </w:tblGrid>
      <w:tr w:rsidR="00F16D87" w14:paraId="5B5ECFE7" w14:textId="77777777" w:rsidTr="0089368D">
        <w:tc>
          <w:tcPr>
            <w:tcW w:w="9360" w:type="dxa"/>
            <w:tcBorders>
              <w:top w:val="nil"/>
              <w:left w:val="nil"/>
              <w:bottom w:val="nil"/>
              <w:right w:val="nil"/>
            </w:tcBorders>
          </w:tcPr>
          <w:p w14:paraId="547659C5" w14:textId="6D81D2A5" w:rsidR="00F16D87" w:rsidRDefault="00895B2D">
            <w:r>
              <w:rPr>
                <w:rFonts w:ascii="Calibri" w:hAnsi="Calibri" w:cs="Calibri"/>
                <w:b/>
                <w:bCs/>
                <w:color w:val="0060A9"/>
                <w:kern w:val="0"/>
                <w:sz w:val="28"/>
                <w:szCs w:val="28"/>
                <w14:ligatures w14:val="none"/>
              </w:rPr>
              <w:t>MAKE THE MOST OF YOUR BENEFITS ALL YEAR LONG</w:t>
            </w:r>
          </w:p>
        </w:tc>
      </w:tr>
      <w:tr w:rsidR="00F16D87" w14:paraId="38A2949E" w14:textId="77777777" w:rsidTr="0089368D">
        <w:tc>
          <w:tcPr>
            <w:tcW w:w="9360" w:type="dxa"/>
            <w:tcBorders>
              <w:top w:val="nil"/>
              <w:left w:val="nil"/>
              <w:bottom w:val="nil"/>
              <w:right w:val="nil"/>
            </w:tcBorders>
          </w:tcPr>
          <w:p w14:paraId="28705AA8" w14:textId="77777777" w:rsidR="007F0296" w:rsidRDefault="00895B2D" w:rsidP="00895B2D">
            <w:pPr>
              <w:rPr>
                <w:rFonts w:ascii="Calibri" w:hAnsi="Calibri" w:cs="Calibri"/>
              </w:rPr>
            </w:pPr>
            <w:r w:rsidRPr="00895B2D">
              <w:rPr>
                <w:rFonts w:ascii="Calibri" w:hAnsi="Calibri" w:cs="Calibri"/>
              </w:rPr>
              <w:t xml:space="preserve">From paying for health care expenses to saving for retirement, your </w:t>
            </w:r>
            <w:r>
              <w:rPr>
                <w:rFonts w:ascii="Calibri" w:hAnsi="Calibri" w:cs="Calibri"/>
              </w:rPr>
              <w:t>TG</w:t>
            </w:r>
            <w:r w:rsidRPr="00895B2D">
              <w:rPr>
                <w:rFonts w:ascii="Calibri" w:hAnsi="Calibri" w:cs="Calibri"/>
              </w:rPr>
              <w:t xml:space="preserve"> benefits offer more value than you might realize.</w:t>
            </w:r>
            <w:r>
              <w:rPr>
                <w:rFonts w:ascii="Calibri" w:hAnsi="Calibri" w:cs="Calibri"/>
              </w:rPr>
              <w:t xml:space="preserve"> </w:t>
            </w:r>
            <w:r w:rsidRPr="00895B2D">
              <w:rPr>
                <w:rFonts w:ascii="Calibri" w:hAnsi="Calibri" w:cs="Calibri"/>
              </w:rPr>
              <w:t xml:space="preserve">This month, learn how Health Savings Accounts and Flexible Spending Accounts can support your health </w:t>
            </w:r>
            <w:r w:rsidRPr="00895B2D">
              <w:rPr>
                <w:rFonts w:ascii="Calibri" w:hAnsi="Calibri" w:cs="Calibri"/>
                <w:i/>
                <w:iCs/>
              </w:rPr>
              <w:t xml:space="preserve">and </w:t>
            </w:r>
            <w:r w:rsidRPr="00895B2D">
              <w:rPr>
                <w:rFonts w:ascii="Calibri" w:hAnsi="Calibri" w:cs="Calibri"/>
              </w:rPr>
              <w:t>your wallet.</w:t>
            </w:r>
          </w:p>
          <w:p w14:paraId="5F5AC774" w14:textId="130BB5D1" w:rsidR="00895B2D" w:rsidRDefault="00895B2D" w:rsidP="00895B2D"/>
        </w:tc>
      </w:tr>
      <w:tr w:rsidR="00FD7A05" w14:paraId="0D480C22" w14:textId="77777777" w:rsidTr="0057319B">
        <w:tc>
          <w:tcPr>
            <w:tcW w:w="9360" w:type="dxa"/>
            <w:tcBorders>
              <w:top w:val="single" w:sz="4" w:space="0" w:color="FFFFFF" w:themeColor="background1"/>
              <w:left w:val="nil"/>
              <w:bottom w:val="nil"/>
              <w:right w:val="nil"/>
            </w:tcBorders>
            <w:shd w:val="clear" w:color="auto" w:fill="F2F2F2" w:themeFill="background1" w:themeFillShade="F2"/>
            <w:vAlign w:val="center"/>
          </w:tcPr>
          <w:p w14:paraId="09A2D1AF" w14:textId="4652E5AA" w:rsidR="00895B2D" w:rsidRPr="00FD7A05" w:rsidRDefault="00895B2D" w:rsidP="00895B2D">
            <w:pPr>
              <w:spacing w:before="120"/>
              <w:rPr>
                <w:rFonts w:ascii="Calibri" w:hAnsi="Calibri" w:cs="Calibri"/>
                <w:b/>
                <w:bCs/>
                <w:color w:val="0060A9"/>
                <w:kern w:val="0"/>
                <w:sz w:val="28"/>
                <w:szCs w:val="28"/>
                <w14:ligatures w14:val="none"/>
              </w:rPr>
            </w:pPr>
            <w:r>
              <w:rPr>
                <w:rFonts w:ascii="Calibri" w:hAnsi="Calibri" w:cs="Calibri"/>
                <w:b/>
                <w:bCs/>
                <w:color w:val="0060A9"/>
                <w:kern w:val="0"/>
                <w:sz w:val="28"/>
                <w:szCs w:val="28"/>
                <w14:ligatures w14:val="none"/>
              </w:rPr>
              <w:t>Your HSA: Spend, Save or Stay Flexible</w:t>
            </w:r>
          </w:p>
          <w:p w14:paraId="59658B36" w14:textId="5F9AFA1B" w:rsidR="00895B2D" w:rsidRPr="00895B2D" w:rsidRDefault="00895B2D" w:rsidP="00895B2D">
            <w:pPr>
              <w:spacing w:after="120"/>
              <w:rPr>
                <w:rFonts w:ascii="Calibri" w:hAnsi="Calibri" w:cs="Calibri"/>
              </w:rPr>
            </w:pPr>
            <w:r w:rsidRPr="00895B2D">
              <w:rPr>
                <w:rFonts w:ascii="Calibri" w:hAnsi="Calibri" w:cs="Calibri"/>
              </w:rPr>
              <w:t>If you</w:t>
            </w:r>
            <w:r>
              <w:rPr>
                <w:rFonts w:ascii="Calibri" w:hAnsi="Calibri" w:cs="Calibri"/>
              </w:rPr>
              <w:t>’</w:t>
            </w:r>
            <w:r w:rsidRPr="00895B2D">
              <w:rPr>
                <w:rFonts w:ascii="Calibri" w:hAnsi="Calibri" w:cs="Calibri"/>
              </w:rPr>
              <w:t xml:space="preserve">re enrolled in </w:t>
            </w:r>
            <w:r>
              <w:rPr>
                <w:rFonts w:ascii="Calibri" w:hAnsi="Calibri" w:cs="Calibri"/>
              </w:rPr>
              <w:t xml:space="preserve">the Optimal </w:t>
            </w:r>
            <w:r w:rsidRPr="00895B2D">
              <w:rPr>
                <w:rFonts w:ascii="Calibri" w:hAnsi="Calibri" w:cs="Calibri"/>
              </w:rPr>
              <w:t>medical plan</w:t>
            </w:r>
            <w:r>
              <w:rPr>
                <w:rFonts w:ascii="Calibri" w:hAnsi="Calibri" w:cs="Calibri"/>
              </w:rPr>
              <w:t xml:space="preserve"> </w:t>
            </w:r>
            <w:r w:rsidRPr="00895B2D">
              <w:rPr>
                <w:rFonts w:ascii="Calibri" w:hAnsi="Calibri" w:cs="Calibri"/>
              </w:rPr>
              <w:t xml:space="preserve">and </w:t>
            </w:r>
            <w:r w:rsidR="00750337">
              <w:rPr>
                <w:rFonts w:ascii="Calibri" w:hAnsi="Calibri" w:cs="Calibri"/>
              </w:rPr>
              <w:t>have</w:t>
            </w:r>
            <w:r w:rsidRPr="00895B2D">
              <w:rPr>
                <w:rFonts w:ascii="Calibri" w:hAnsi="Calibri" w:cs="Calibri"/>
              </w:rPr>
              <w:t xml:space="preserve"> a Health Savings Account (HSA), you can use</w:t>
            </w:r>
            <w:r>
              <w:rPr>
                <w:rFonts w:ascii="Calibri" w:hAnsi="Calibri" w:cs="Calibri"/>
              </w:rPr>
              <w:t xml:space="preserve"> </w:t>
            </w:r>
            <w:r w:rsidRPr="00895B2D">
              <w:rPr>
                <w:rFonts w:ascii="Calibri" w:hAnsi="Calibri" w:cs="Calibri"/>
              </w:rPr>
              <w:t>your HSA to pay for eligible health expenses during the year.</w:t>
            </w:r>
          </w:p>
          <w:p w14:paraId="5C70D57F" w14:textId="507864D0" w:rsidR="00895B2D" w:rsidRPr="00895B2D" w:rsidRDefault="00895B2D" w:rsidP="00895B2D">
            <w:pPr>
              <w:spacing w:after="120"/>
              <w:rPr>
                <w:rFonts w:ascii="Calibri" w:hAnsi="Calibri" w:cs="Calibri"/>
              </w:rPr>
            </w:pPr>
            <w:r w:rsidRPr="00895B2D">
              <w:rPr>
                <w:rFonts w:ascii="Calibri" w:hAnsi="Calibri" w:cs="Calibri"/>
              </w:rPr>
              <w:t>HSA funds can cover more than just deductibles and</w:t>
            </w:r>
            <w:r>
              <w:rPr>
                <w:rFonts w:ascii="Calibri" w:hAnsi="Calibri" w:cs="Calibri"/>
              </w:rPr>
              <w:t xml:space="preserve"> </w:t>
            </w:r>
            <w:r w:rsidRPr="00895B2D">
              <w:rPr>
                <w:rFonts w:ascii="Calibri" w:hAnsi="Calibri" w:cs="Calibri"/>
              </w:rPr>
              <w:t>prescriptions, they can also be used for dental and vision</w:t>
            </w:r>
            <w:r>
              <w:rPr>
                <w:rFonts w:ascii="Calibri" w:hAnsi="Calibri" w:cs="Calibri"/>
              </w:rPr>
              <w:t xml:space="preserve"> </w:t>
            </w:r>
            <w:r w:rsidRPr="00895B2D">
              <w:rPr>
                <w:rFonts w:ascii="Calibri" w:hAnsi="Calibri" w:cs="Calibri"/>
              </w:rPr>
              <w:t>care (including braces, glasses, and contacts), mental health</w:t>
            </w:r>
            <w:r>
              <w:rPr>
                <w:rFonts w:ascii="Calibri" w:hAnsi="Calibri" w:cs="Calibri"/>
              </w:rPr>
              <w:t xml:space="preserve"> s</w:t>
            </w:r>
            <w:r w:rsidRPr="00895B2D">
              <w:rPr>
                <w:rFonts w:ascii="Calibri" w:hAnsi="Calibri" w:cs="Calibri"/>
              </w:rPr>
              <w:t>ervices, chiropractic care, acupuncture, first aid supplies, and</w:t>
            </w:r>
            <w:r>
              <w:rPr>
                <w:rFonts w:ascii="Calibri" w:hAnsi="Calibri" w:cs="Calibri"/>
              </w:rPr>
              <w:t xml:space="preserve"> </w:t>
            </w:r>
            <w:r w:rsidRPr="00895B2D">
              <w:rPr>
                <w:rFonts w:ascii="Calibri" w:hAnsi="Calibri" w:cs="Calibri"/>
              </w:rPr>
              <w:t>at</w:t>
            </w:r>
            <w:r w:rsidRPr="00895B2D">
              <w:rPr>
                <w:rFonts w:ascii="Cambria Math" w:hAnsi="Cambria Math" w:cs="Cambria Math"/>
              </w:rPr>
              <w:t>‑</w:t>
            </w:r>
            <w:r w:rsidRPr="00895B2D">
              <w:rPr>
                <w:rFonts w:ascii="Calibri" w:hAnsi="Calibri" w:cs="Calibri"/>
              </w:rPr>
              <w:t>home medical tests.</w:t>
            </w:r>
          </w:p>
          <w:p w14:paraId="6FBB5AA7" w14:textId="77777777" w:rsidR="00895B2D" w:rsidRPr="00895B2D" w:rsidRDefault="00895B2D" w:rsidP="00895B2D">
            <w:pPr>
              <w:spacing w:after="120"/>
              <w:rPr>
                <w:rFonts w:ascii="Calibri" w:hAnsi="Calibri" w:cs="Calibri"/>
                <w:b/>
                <w:bCs/>
              </w:rPr>
            </w:pPr>
            <w:r w:rsidRPr="00895B2D">
              <w:rPr>
                <w:rFonts w:ascii="Calibri" w:hAnsi="Calibri" w:cs="Calibri"/>
                <w:b/>
                <w:bCs/>
              </w:rPr>
              <w:t>Did You Know?</w:t>
            </w:r>
          </w:p>
          <w:p w14:paraId="077F4AA7" w14:textId="0EB351E2" w:rsidR="00895B2D" w:rsidRPr="00895B2D" w:rsidRDefault="00895B2D" w:rsidP="00895B2D">
            <w:pPr>
              <w:pStyle w:val="ListParagraph"/>
              <w:numPr>
                <w:ilvl w:val="0"/>
                <w:numId w:val="6"/>
              </w:numPr>
              <w:spacing w:after="120"/>
              <w:rPr>
                <w:rFonts w:ascii="Calibri" w:hAnsi="Calibri" w:cs="Calibri"/>
              </w:rPr>
            </w:pPr>
            <w:r w:rsidRPr="00895B2D">
              <w:rPr>
                <w:rFonts w:ascii="Calibri" w:hAnsi="Calibri" w:cs="Calibri"/>
              </w:rPr>
              <w:t>Any money you don’t use stays in your account and rolls over year-to-year. While HSAs are great for current expenses, they can also help you prepare for future healthcare costs, including those in retirement.</w:t>
            </w:r>
          </w:p>
          <w:p w14:paraId="05B9BA74" w14:textId="7301CAD3" w:rsidR="00895B2D" w:rsidRPr="00895B2D" w:rsidRDefault="00895B2D" w:rsidP="00895B2D">
            <w:pPr>
              <w:pStyle w:val="ListParagraph"/>
              <w:numPr>
                <w:ilvl w:val="0"/>
                <w:numId w:val="6"/>
              </w:numPr>
              <w:spacing w:after="120"/>
              <w:rPr>
                <w:rFonts w:ascii="Calibri" w:hAnsi="Calibri" w:cs="Calibri"/>
              </w:rPr>
            </w:pPr>
            <w:r w:rsidRPr="00895B2D">
              <w:rPr>
                <w:rFonts w:ascii="Calibri" w:hAnsi="Calibri" w:cs="Calibri"/>
              </w:rPr>
              <w:t>You can contribute to your HSA on a pre-tax basis, up to the 2026 annual IRS limits below</w:t>
            </w:r>
            <w:r>
              <w:rPr>
                <w:rFonts w:ascii="Calibri" w:hAnsi="Calibri" w:cs="Calibri"/>
              </w:rPr>
              <w:t>, and y</w:t>
            </w:r>
            <w:r w:rsidRPr="00895B2D">
              <w:rPr>
                <w:rFonts w:ascii="Calibri" w:hAnsi="Calibri" w:cs="Calibri"/>
              </w:rPr>
              <w:t>ou can stop, start or change your contribution at any time during the year</w:t>
            </w:r>
            <w:r w:rsidR="00417C78">
              <w:rPr>
                <w:rFonts w:ascii="Calibri" w:hAnsi="Calibri" w:cs="Calibri"/>
              </w:rPr>
              <w:t xml:space="preserve"> through bswift, our benefits administration platform</w:t>
            </w:r>
            <w:r w:rsidRPr="00895B2D">
              <w:rPr>
                <w:rFonts w:ascii="Calibri" w:hAnsi="Calibri" w:cs="Calibri"/>
              </w:rPr>
              <w:t>.</w:t>
            </w:r>
          </w:p>
          <w:p w14:paraId="4132B388" w14:textId="654B3356" w:rsidR="00895B2D" w:rsidRPr="00895B2D" w:rsidRDefault="00895B2D" w:rsidP="00895B2D">
            <w:pPr>
              <w:pStyle w:val="ListParagraph"/>
              <w:numPr>
                <w:ilvl w:val="1"/>
                <w:numId w:val="6"/>
              </w:numPr>
              <w:spacing w:after="120"/>
              <w:rPr>
                <w:rFonts w:ascii="Calibri" w:hAnsi="Calibri" w:cs="Calibri"/>
              </w:rPr>
            </w:pPr>
            <w:r w:rsidRPr="00895B2D">
              <w:rPr>
                <w:rFonts w:ascii="Calibri" w:hAnsi="Calibri" w:cs="Calibri"/>
                <w:b/>
                <w:bCs/>
              </w:rPr>
              <w:t xml:space="preserve">Employee-only medical coverage: </w:t>
            </w:r>
            <w:r w:rsidRPr="00895B2D">
              <w:rPr>
                <w:rFonts w:ascii="Calibri" w:hAnsi="Calibri" w:cs="Calibri"/>
              </w:rPr>
              <w:t>$4,400</w:t>
            </w:r>
          </w:p>
          <w:p w14:paraId="511E3582" w14:textId="5F6EA832" w:rsidR="00895B2D" w:rsidRPr="00895B2D" w:rsidRDefault="00895B2D" w:rsidP="00895B2D">
            <w:pPr>
              <w:pStyle w:val="ListParagraph"/>
              <w:numPr>
                <w:ilvl w:val="1"/>
                <w:numId w:val="6"/>
              </w:numPr>
              <w:spacing w:after="120"/>
              <w:rPr>
                <w:rFonts w:ascii="Calibri" w:hAnsi="Calibri" w:cs="Calibri"/>
              </w:rPr>
            </w:pPr>
            <w:r w:rsidRPr="00895B2D">
              <w:rPr>
                <w:rFonts w:ascii="Calibri" w:hAnsi="Calibri" w:cs="Calibri"/>
                <w:b/>
                <w:bCs/>
              </w:rPr>
              <w:t xml:space="preserve">All other coverage levels: </w:t>
            </w:r>
            <w:r w:rsidRPr="00895B2D">
              <w:rPr>
                <w:rFonts w:ascii="Calibri" w:hAnsi="Calibri" w:cs="Calibri"/>
              </w:rPr>
              <w:t>$8,750</w:t>
            </w:r>
          </w:p>
          <w:p w14:paraId="0EF7928C" w14:textId="603019A7" w:rsidR="00895B2D" w:rsidRPr="00895B2D" w:rsidRDefault="00895B2D" w:rsidP="00895B2D">
            <w:pPr>
              <w:pStyle w:val="ListParagraph"/>
              <w:numPr>
                <w:ilvl w:val="1"/>
                <w:numId w:val="6"/>
              </w:numPr>
              <w:spacing w:after="120"/>
              <w:rPr>
                <w:rFonts w:ascii="Calibri" w:hAnsi="Calibri" w:cs="Calibri"/>
              </w:rPr>
            </w:pPr>
            <w:r w:rsidRPr="00895B2D">
              <w:rPr>
                <w:rFonts w:ascii="Calibri" w:hAnsi="Calibri" w:cs="Calibri"/>
                <w:b/>
                <w:bCs/>
              </w:rPr>
              <w:t xml:space="preserve">Catch-up contribution </w:t>
            </w:r>
            <w:r w:rsidRPr="00895B2D">
              <w:rPr>
                <w:rFonts w:ascii="Calibri" w:hAnsi="Calibri" w:cs="Calibri"/>
              </w:rPr>
              <w:t>(if you’re over age 55)</w:t>
            </w:r>
            <w:r w:rsidRPr="00895B2D">
              <w:rPr>
                <w:rFonts w:ascii="Calibri" w:hAnsi="Calibri" w:cs="Calibri"/>
                <w:b/>
                <w:bCs/>
              </w:rPr>
              <w:t xml:space="preserve">: </w:t>
            </w:r>
            <w:r w:rsidRPr="00895B2D">
              <w:rPr>
                <w:rFonts w:ascii="Calibri" w:hAnsi="Calibri" w:cs="Calibri"/>
              </w:rPr>
              <w:t>$1,000</w:t>
            </w:r>
          </w:p>
          <w:p w14:paraId="4ABDC1ED" w14:textId="08BEFF7F" w:rsidR="00895B2D" w:rsidRPr="00895B2D" w:rsidRDefault="00895B2D" w:rsidP="00895B2D">
            <w:pPr>
              <w:pStyle w:val="ListParagraph"/>
              <w:numPr>
                <w:ilvl w:val="0"/>
                <w:numId w:val="6"/>
              </w:numPr>
              <w:spacing w:after="120"/>
              <w:rPr>
                <w:rFonts w:ascii="Calibri" w:hAnsi="Calibri" w:cs="Calibri"/>
              </w:rPr>
            </w:pPr>
            <w:r>
              <w:rPr>
                <w:rFonts w:ascii="Calibri" w:hAnsi="Calibri" w:cs="Calibri"/>
              </w:rPr>
              <w:t xml:space="preserve">Every pay period, </w:t>
            </w:r>
            <w:r w:rsidRPr="00895B2D">
              <w:rPr>
                <w:rFonts w:ascii="Calibri" w:hAnsi="Calibri" w:cs="Calibri"/>
              </w:rPr>
              <w:t>TG contributes, too</w:t>
            </w:r>
            <w:r>
              <w:rPr>
                <w:rFonts w:ascii="Calibri" w:hAnsi="Calibri" w:cs="Calibri"/>
              </w:rPr>
              <w:t>!</w:t>
            </w:r>
          </w:p>
          <w:p w14:paraId="6F40B866" w14:textId="46E10C54" w:rsidR="00895B2D" w:rsidRPr="00895B2D" w:rsidRDefault="00895B2D" w:rsidP="00895B2D">
            <w:pPr>
              <w:pStyle w:val="ListParagraph"/>
              <w:numPr>
                <w:ilvl w:val="1"/>
                <w:numId w:val="6"/>
              </w:numPr>
              <w:spacing w:after="120"/>
              <w:rPr>
                <w:rFonts w:ascii="Calibri" w:hAnsi="Calibri" w:cs="Calibri"/>
              </w:rPr>
            </w:pPr>
            <w:r w:rsidRPr="00895B2D">
              <w:rPr>
                <w:rFonts w:ascii="Calibri" w:hAnsi="Calibri" w:cs="Calibri"/>
                <w:b/>
                <w:bCs/>
              </w:rPr>
              <w:t>Employee-only Coverage:</w:t>
            </w:r>
            <w:r w:rsidRPr="00895B2D">
              <w:rPr>
                <w:rFonts w:ascii="Calibri" w:hAnsi="Calibri" w:cs="Calibri"/>
              </w:rPr>
              <w:t xml:space="preserve"> $25 per-pay-period, up to $650 per year</w:t>
            </w:r>
          </w:p>
          <w:p w14:paraId="1090F617" w14:textId="50533AC4" w:rsidR="00895B2D" w:rsidRPr="00895B2D" w:rsidRDefault="00895B2D" w:rsidP="00895B2D">
            <w:pPr>
              <w:pStyle w:val="ListParagraph"/>
              <w:numPr>
                <w:ilvl w:val="1"/>
                <w:numId w:val="6"/>
              </w:numPr>
              <w:spacing w:after="120"/>
              <w:rPr>
                <w:rFonts w:ascii="Calibri" w:hAnsi="Calibri" w:cs="Calibri"/>
              </w:rPr>
            </w:pPr>
            <w:r w:rsidRPr="00895B2D">
              <w:rPr>
                <w:rFonts w:ascii="Calibri" w:hAnsi="Calibri" w:cs="Calibri"/>
                <w:b/>
                <w:bCs/>
              </w:rPr>
              <w:t xml:space="preserve">All other coverage levels: </w:t>
            </w:r>
            <w:r w:rsidRPr="00895B2D">
              <w:rPr>
                <w:rFonts w:ascii="Calibri" w:hAnsi="Calibri" w:cs="Calibri"/>
              </w:rPr>
              <w:t>$50 per-pay-period, up to $1,300 per year</w:t>
            </w:r>
          </w:p>
          <w:p w14:paraId="66C0B682" w14:textId="5D97F7E4" w:rsidR="00895B2D" w:rsidRPr="00895B2D" w:rsidRDefault="00895B2D" w:rsidP="00895B2D">
            <w:pPr>
              <w:pStyle w:val="ListParagraph"/>
              <w:numPr>
                <w:ilvl w:val="0"/>
                <w:numId w:val="6"/>
              </w:numPr>
              <w:spacing w:after="120"/>
              <w:rPr>
                <w:rFonts w:ascii="Calibri" w:hAnsi="Calibri" w:cs="Calibri"/>
              </w:rPr>
            </w:pPr>
            <w:r w:rsidRPr="00895B2D">
              <w:rPr>
                <w:rFonts w:ascii="Calibri" w:hAnsi="Calibri" w:cs="Calibri"/>
              </w:rPr>
              <w:t>Once your account balance reaches a minimum balance, you can start an investment account.</w:t>
            </w:r>
          </w:p>
          <w:p w14:paraId="6B7BF3E2" w14:textId="0F68E43B" w:rsidR="00FD7A05" w:rsidRPr="00895B2D" w:rsidRDefault="00895B2D" w:rsidP="00895B2D">
            <w:pPr>
              <w:spacing w:after="120"/>
              <w:rPr>
                <w:rFonts w:ascii="Calibri" w:hAnsi="Calibri" w:cs="Calibri"/>
              </w:rPr>
            </w:pPr>
            <w:r w:rsidRPr="00895B2D">
              <w:rPr>
                <w:rFonts w:ascii="Calibri" w:hAnsi="Calibri" w:cs="Calibri"/>
              </w:rPr>
              <w:t xml:space="preserve">Visit </w:t>
            </w:r>
            <w:hyperlink r:id="rId6" w:history="1">
              <w:r w:rsidRPr="00895B2D">
                <w:rPr>
                  <w:rStyle w:val="Hyperlink"/>
                  <w:rFonts w:ascii="Calibri" w:hAnsi="Calibri" w:cs="Calibri"/>
                  <w:b/>
                  <w:bCs/>
                </w:rPr>
                <w:t>livelyme.com</w:t>
              </w:r>
            </w:hyperlink>
            <w:r w:rsidRPr="00895B2D">
              <w:rPr>
                <w:rFonts w:ascii="Calibri" w:hAnsi="Calibri" w:cs="Calibri"/>
                <w:b/>
                <w:bCs/>
              </w:rPr>
              <w:t xml:space="preserve"> </w:t>
            </w:r>
            <w:r w:rsidRPr="00895B2D">
              <w:rPr>
                <w:rFonts w:ascii="Calibri" w:hAnsi="Calibri" w:cs="Calibri"/>
              </w:rPr>
              <w:t xml:space="preserve">or call </w:t>
            </w:r>
            <w:r w:rsidRPr="00895B2D">
              <w:rPr>
                <w:rFonts w:ascii="Calibri" w:hAnsi="Calibri" w:cs="Calibri"/>
                <w:b/>
                <w:bCs/>
              </w:rPr>
              <w:t>8</w:t>
            </w:r>
            <w:r>
              <w:rPr>
                <w:rFonts w:ascii="Calibri" w:hAnsi="Calibri" w:cs="Calibri"/>
                <w:b/>
                <w:bCs/>
              </w:rPr>
              <w:t>88-576-4837</w:t>
            </w:r>
            <w:r w:rsidRPr="00895B2D">
              <w:rPr>
                <w:rFonts w:ascii="Calibri" w:hAnsi="Calibri" w:cs="Calibri"/>
                <w:b/>
                <w:bCs/>
              </w:rPr>
              <w:t xml:space="preserve"> </w:t>
            </w:r>
            <w:r w:rsidRPr="00895B2D">
              <w:rPr>
                <w:rFonts w:ascii="Calibri" w:hAnsi="Calibri" w:cs="Calibri"/>
              </w:rPr>
              <w:t>for more</w:t>
            </w:r>
            <w:r>
              <w:rPr>
                <w:rFonts w:ascii="Calibri" w:hAnsi="Calibri" w:cs="Calibri"/>
              </w:rPr>
              <w:t xml:space="preserve"> </w:t>
            </w:r>
            <w:r w:rsidRPr="00895B2D">
              <w:rPr>
                <w:rFonts w:ascii="Calibri" w:hAnsi="Calibri" w:cs="Calibri"/>
              </w:rPr>
              <w:t>information or to check your balance.</w:t>
            </w:r>
          </w:p>
        </w:tc>
      </w:tr>
      <w:tr w:rsidR="001B15FB" w14:paraId="2D7C9E40" w14:textId="77777777" w:rsidTr="001B15FB">
        <w:tc>
          <w:tcPr>
            <w:tcW w:w="9360" w:type="dxa"/>
            <w:tcBorders>
              <w:top w:val="single" w:sz="4" w:space="0" w:color="FFFFFF" w:themeColor="background1"/>
              <w:left w:val="nil"/>
              <w:bottom w:val="nil"/>
              <w:right w:val="nil"/>
            </w:tcBorders>
            <w:vAlign w:val="center"/>
          </w:tcPr>
          <w:p w14:paraId="52DB9D50" w14:textId="11AD7671" w:rsidR="001B15FB" w:rsidRDefault="00895B2D" w:rsidP="00635234">
            <w:pPr>
              <w:spacing w:before="120"/>
              <w:ind w:right="432"/>
              <w:rPr>
                <w:rFonts w:ascii="Calibri" w:hAnsi="Calibri" w:cs="Calibri"/>
                <w:b/>
                <w:bCs/>
                <w:color w:val="0060A9"/>
                <w:kern w:val="0"/>
                <w:sz w:val="28"/>
                <w:szCs w:val="28"/>
                <w14:ligatures w14:val="none"/>
              </w:rPr>
            </w:pPr>
            <w:r>
              <w:rPr>
                <w:rFonts w:ascii="Calibri" w:hAnsi="Calibri" w:cs="Calibri"/>
                <w:b/>
                <w:bCs/>
                <w:color w:val="0060A9"/>
                <w:kern w:val="0"/>
                <w:sz w:val="28"/>
                <w:szCs w:val="28"/>
                <w14:ligatures w14:val="none"/>
              </w:rPr>
              <w:t>Spend Smart: How to Use Your FSA</w:t>
            </w:r>
          </w:p>
          <w:p w14:paraId="1BA3B2B2" w14:textId="4069FBA0" w:rsidR="00AF09E2" w:rsidRPr="00AF09E2" w:rsidRDefault="00895B2D" w:rsidP="00AF09E2">
            <w:pPr>
              <w:spacing w:before="120"/>
              <w:rPr>
                <w:rFonts w:ascii="Calibri" w:hAnsi="Calibri" w:cs="Calibri"/>
              </w:rPr>
            </w:pPr>
            <w:r w:rsidRPr="00895B2D">
              <w:rPr>
                <w:rFonts w:ascii="Calibri" w:hAnsi="Calibri" w:cs="Calibri"/>
              </w:rPr>
              <w:t>If you contribute to a Flexible Spending Account (FSA),</w:t>
            </w:r>
            <w:r>
              <w:rPr>
                <w:rFonts w:ascii="Calibri" w:hAnsi="Calibri" w:cs="Calibri"/>
              </w:rPr>
              <w:t xml:space="preserve"> </w:t>
            </w:r>
            <w:r w:rsidRPr="00895B2D">
              <w:rPr>
                <w:rFonts w:ascii="Calibri" w:hAnsi="Calibri" w:cs="Calibri"/>
              </w:rPr>
              <w:t>remember it</w:t>
            </w:r>
            <w:r>
              <w:rPr>
                <w:rFonts w:ascii="Calibri" w:hAnsi="Calibri" w:cs="Calibri"/>
              </w:rPr>
              <w:t>’</w:t>
            </w:r>
            <w:r w:rsidRPr="00895B2D">
              <w:rPr>
                <w:rFonts w:ascii="Calibri" w:hAnsi="Calibri" w:cs="Calibri"/>
              </w:rPr>
              <w:t>s a</w:t>
            </w:r>
            <w:r>
              <w:rPr>
                <w:rFonts w:ascii="Calibri" w:hAnsi="Calibri" w:cs="Calibri"/>
              </w:rPr>
              <w:t xml:space="preserve"> “</w:t>
            </w:r>
            <w:r w:rsidRPr="00895B2D">
              <w:rPr>
                <w:rFonts w:ascii="Calibri" w:hAnsi="Calibri" w:cs="Calibri"/>
              </w:rPr>
              <w:t>use-it-or-lose-it</w:t>
            </w:r>
            <w:r>
              <w:rPr>
                <w:rFonts w:ascii="Calibri" w:hAnsi="Calibri" w:cs="Calibri"/>
              </w:rPr>
              <w:t>”</w:t>
            </w:r>
            <w:r w:rsidRPr="00895B2D">
              <w:rPr>
                <w:rFonts w:ascii="Calibri" w:hAnsi="Calibri" w:cs="Calibri"/>
              </w:rPr>
              <w:t xml:space="preserve"> benefit. That means any</w:t>
            </w:r>
            <w:r>
              <w:rPr>
                <w:rFonts w:ascii="Calibri" w:hAnsi="Calibri" w:cs="Calibri"/>
              </w:rPr>
              <w:t xml:space="preserve"> </w:t>
            </w:r>
            <w:r w:rsidRPr="00895B2D">
              <w:rPr>
                <w:rFonts w:ascii="Calibri" w:hAnsi="Calibri" w:cs="Calibri"/>
              </w:rPr>
              <w:t>money left in your account at the end of 2026</w:t>
            </w:r>
            <w:r>
              <w:rPr>
                <w:rFonts w:ascii="Calibri" w:hAnsi="Calibri" w:cs="Calibri"/>
              </w:rPr>
              <w:t xml:space="preserve"> is forfeited, so be sure </w:t>
            </w:r>
            <w:r>
              <w:rPr>
                <w:rFonts w:ascii="Calibri" w:hAnsi="Calibri" w:cs="Calibri"/>
              </w:rPr>
              <w:lastRenderedPageBreak/>
              <w:t>to spend your funds throughout the year!</w:t>
            </w:r>
            <w:r w:rsidR="00AF09E2">
              <w:rPr>
                <w:rFonts w:ascii="Calibri" w:hAnsi="Calibri" w:cs="Calibri"/>
              </w:rPr>
              <w:t xml:space="preserve"> Log in to</w:t>
            </w:r>
            <w:r w:rsidR="00AF09E2" w:rsidRPr="00895B2D">
              <w:rPr>
                <w:rFonts w:ascii="Calibri" w:hAnsi="Calibri" w:cs="Calibri"/>
              </w:rPr>
              <w:t xml:space="preserve"> </w:t>
            </w:r>
            <w:hyperlink r:id="rId7" w:history="1">
              <w:r w:rsidR="00AF09E2" w:rsidRPr="00895B2D">
                <w:rPr>
                  <w:rStyle w:val="Hyperlink"/>
                  <w:rFonts w:ascii="Calibri" w:hAnsi="Calibri" w:cs="Calibri"/>
                  <w:b/>
                  <w:bCs/>
                </w:rPr>
                <w:t>livelyme.com</w:t>
              </w:r>
            </w:hyperlink>
            <w:r w:rsidR="00AF09E2" w:rsidRPr="00895B2D">
              <w:rPr>
                <w:rFonts w:ascii="Calibri" w:hAnsi="Calibri" w:cs="Calibri"/>
                <w:b/>
                <w:bCs/>
              </w:rPr>
              <w:t xml:space="preserve"> </w:t>
            </w:r>
            <w:r w:rsidR="00AF09E2" w:rsidRPr="00895B2D">
              <w:rPr>
                <w:rFonts w:ascii="Calibri" w:hAnsi="Calibri" w:cs="Calibri"/>
              </w:rPr>
              <w:t xml:space="preserve">or call </w:t>
            </w:r>
            <w:r w:rsidR="00AF09E2" w:rsidRPr="00895B2D">
              <w:rPr>
                <w:rFonts w:ascii="Calibri" w:hAnsi="Calibri" w:cs="Calibri"/>
                <w:b/>
                <w:bCs/>
              </w:rPr>
              <w:t>8</w:t>
            </w:r>
            <w:r w:rsidR="00AF09E2">
              <w:rPr>
                <w:rFonts w:ascii="Calibri" w:hAnsi="Calibri" w:cs="Calibri"/>
                <w:b/>
                <w:bCs/>
              </w:rPr>
              <w:t>88-576-4837</w:t>
            </w:r>
            <w:r w:rsidR="00AF09E2" w:rsidRPr="00895B2D">
              <w:rPr>
                <w:rFonts w:ascii="Calibri" w:hAnsi="Calibri" w:cs="Calibri"/>
              </w:rPr>
              <w:t xml:space="preserve"> </w:t>
            </w:r>
            <w:r w:rsidR="00AF09E2" w:rsidRPr="00AF09E2">
              <w:rPr>
                <w:rFonts w:ascii="Calibri" w:hAnsi="Calibri" w:cs="Calibri"/>
              </w:rPr>
              <w:t>to review your</w:t>
            </w:r>
            <w:r w:rsidR="00AF09E2">
              <w:rPr>
                <w:rFonts w:ascii="Calibri" w:hAnsi="Calibri" w:cs="Calibri"/>
              </w:rPr>
              <w:t xml:space="preserve"> FSA</w:t>
            </w:r>
            <w:r w:rsidR="00AF09E2" w:rsidRPr="00AF09E2">
              <w:rPr>
                <w:rFonts w:ascii="Calibri" w:hAnsi="Calibri" w:cs="Calibri"/>
              </w:rPr>
              <w:t xml:space="preserve"> balance</w:t>
            </w:r>
            <w:r w:rsidR="00AF09E2">
              <w:rPr>
                <w:rFonts w:ascii="Calibri" w:hAnsi="Calibri" w:cs="Calibri"/>
              </w:rPr>
              <w:t>(s)</w:t>
            </w:r>
            <w:r w:rsidR="00AF09E2" w:rsidRPr="00AF09E2">
              <w:rPr>
                <w:rFonts w:ascii="Calibri" w:hAnsi="Calibri" w:cs="Calibri"/>
              </w:rPr>
              <w:t xml:space="preserve"> or submit a claim for reimbursement.</w:t>
            </w:r>
          </w:p>
          <w:p w14:paraId="296EBF67" w14:textId="77777777" w:rsidR="00895B2D" w:rsidRPr="00895B2D" w:rsidRDefault="00895B2D" w:rsidP="00895B2D">
            <w:pPr>
              <w:ind w:right="432"/>
              <w:rPr>
                <w:rFonts w:ascii="Calibri" w:hAnsi="Calibri" w:cs="Calibri"/>
              </w:rPr>
            </w:pPr>
          </w:p>
          <w:p w14:paraId="42CA310F" w14:textId="65A4DBD3" w:rsidR="00895B2D" w:rsidRPr="00895B2D" w:rsidRDefault="00895B2D" w:rsidP="00895B2D">
            <w:pPr>
              <w:ind w:right="432"/>
              <w:rPr>
                <w:rFonts w:ascii="Calibri" w:hAnsi="Calibri" w:cs="Calibri"/>
                <w:b/>
                <w:bCs/>
              </w:rPr>
            </w:pPr>
            <w:r w:rsidRPr="00895B2D">
              <w:rPr>
                <w:rFonts w:ascii="Calibri" w:hAnsi="Calibri" w:cs="Calibri"/>
                <w:b/>
                <w:bCs/>
              </w:rPr>
              <w:t>Health Care FSA</w:t>
            </w:r>
          </w:p>
          <w:p w14:paraId="36F67FDC" w14:textId="321143E1" w:rsidR="00895B2D" w:rsidRDefault="00895B2D" w:rsidP="00AF09E2">
            <w:pPr>
              <w:ind w:right="432"/>
              <w:rPr>
                <w:rFonts w:ascii="Calibri" w:hAnsi="Calibri" w:cs="Calibri"/>
              </w:rPr>
            </w:pPr>
            <w:r w:rsidRPr="00895B2D">
              <w:rPr>
                <w:rFonts w:ascii="Calibri" w:hAnsi="Calibri" w:cs="Calibri"/>
              </w:rPr>
              <w:t>The Health Care FSA can be used for many out</w:t>
            </w:r>
            <w:r w:rsidRPr="00895B2D">
              <w:rPr>
                <w:rFonts w:ascii="Cambria Math" w:hAnsi="Cambria Math" w:cs="Cambria Math"/>
              </w:rPr>
              <w:t>‑</w:t>
            </w:r>
            <w:r w:rsidRPr="00895B2D">
              <w:rPr>
                <w:rFonts w:ascii="Calibri" w:hAnsi="Calibri" w:cs="Calibri"/>
              </w:rPr>
              <w:t>of</w:t>
            </w:r>
            <w:r w:rsidRPr="00895B2D">
              <w:rPr>
                <w:rFonts w:ascii="Cambria Math" w:hAnsi="Cambria Math" w:cs="Cambria Math"/>
              </w:rPr>
              <w:t>‑</w:t>
            </w:r>
            <w:r w:rsidRPr="00895B2D">
              <w:rPr>
                <w:rFonts w:ascii="Calibri" w:hAnsi="Calibri" w:cs="Calibri"/>
              </w:rPr>
              <w:t>pocket</w:t>
            </w:r>
            <w:r>
              <w:rPr>
                <w:rFonts w:ascii="Calibri" w:hAnsi="Calibri" w:cs="Calibri"/>
              </w:rPr>
              <w:t xml:space="preserve"> </w:t>
            </w:r>
            <w:r w:rsidRPr="00895B2D">
              <w:rPr>
                <w:rFonts w:ascii="Calibri" w:hAnsi="Calibri" w:cs="Calibri"/>
              </w:rPr>
              <w:t>medical, dental, and vision expenses, including deductibles,</w:t>
            </w:r>
            <w:r>
              <w:rPr>
                <w:rFonts w:ascii="Calibri" w:hAnsi="Calibri" w:cs="Calibri"/>
              </w:rPr>
              <w:t xml:space="preserve"> </w:t>
            </w:r>
            <w:r w:rsidRPr="00895B2D">
              <w:rPr>
                <w:rFonts w:ascii="Calibri" w:hAnsi="Calibri" w:cs="Calibri"/>
              </w:rPr>
              <w:t>copays, glasses and contacts, orthodontia, and other</w:t>
            </w:r>
            <w:r>
              <w:rPr>
                <w:rFonts w:ascii="Calibri" w:hAnsi="Calibri" w:cs="Calibri"/>
              </w:rPr>
              <w:t xml:space="preserve"> </w:t>
            </w:r>
            <w:r w:rsidRPr="00895B2D">
              <w:rPr>
                <w:rFonts w:ascii="Calibri" w:hAnsi="Calibri" w:cs="Calibri"/>
              </w:rPr>
              <w:t>dental care. It also covers services like chiropractic care and</w:t>
            </w:r>
            <w:r>
              <w:rPr>
                <w:rFonts w:ascii="Calibri" w:hAnsi="Calibri" w:cs="Calibri"/>
              </w:rPr>
              <w:t xml:space="preserve"> </w:t>
            </w:r>
            <w:r w:rsidRPr="00895B2D">
              <w:rPr>
                <w:rFonts w:ascii="Calibri" w:hAnsi="Calibri" w:cs="Calibri"/>
              </w:rPr>
              <w:t>acupuncture, as well as eligible over</w:t>
            </w:r>
            <w:r w:rsidRPr="00895B2D">
              <w:rPr>
                <w:rFonts w:ascii="Cambria Math" w:hAnsi="Cambria Math" w:cs="Cambria Math"/>
              </w:rPr>
              <w:t>‑</w:t>
            </w:r>
            <w:r w:rsidRPr="00895B2D">
              <w:rPr>
                <w:rFonts w:ascii="Calibri" w:hAnsi="Calibri" w:cs="Calibri"/>
              </w:rPr>
              <w:t>the</w:t>
            </w:r>
            <w:r w:rsidRPr="00895B2D">
              <w:rPr>
                <w:rFonts w:ascii="Cambria Math" w:hAnsi="Cambria Math" w:cs="Cambria Math"/>
              </w:rPr>
              <w:t>‑</w:t>
            </w:r>
            <w:r w:rsidRPr="00895B2D">
              <w:rPr>
                <w:rFonts w:ascii="Calibri" w:hAnsi="Calibri" w:cs="Calibri"/>
              </w:rPr>
              <w:t>counter items such</w:t>
            </w:r>
            <w:r>
              <w:rPr>
                <w:rFonts w:ascii="Calibri" w:hAnsi="Calibri" w:cs="Calibri"/>
              </w:rPr>
              <w:t xml:space="preserve"> </w:t>
            </w:r>
            <w:r w:rsidRPr="00895B2D">
              <w:rPr>
                <w:rFonts w:ascii="Calibri" w:hAnsi="Calibri" w:cs="Calibri"/>
              </w:rPr>
              <w:t>as heating pads, ice packs, and even sunscreen (SPF 15+).</w:t>
            </w:r>
            <w:r w:rsidR="00AF09E2">
              <w:rPr>
                <w:rFonts w:ascii="Calibri" w:hAnsi="Calibri" w:cs="Calibri"/>
              </w:rPr>
              <w:t xml:space="preserve"> </w:t>
            </w:r>
            <w:r w:rsidR="00AF09E2" w:rsidRPr="00AF09E2">
              <w:rPr>
                <w:rFonts w:ascii="Calibri" w:hAnsi="Calibri" w:cs="Calibri"/>
                <w:b/>
                <w:bCs/>
              </w:rPr>
              <w:t xml:space="preserve">NOTE: </w:t>
            </w:r>
            <w:r w:rsidR="00AF09E2" w:rsidRPr="00AF09E2">
              <w:rPr>
                <w:rFonts w:ascii="Calibri" w:hAnsi="Calibri" w:cs="Calibri"/>
              </w:rPr>
              <w:t>If you contribute to an</w:t>
            </w:r>
            <w:r w:rsidR="00AF09E2">
              <w:rPr>
                <w:rFonts w:ascii="Calibri" w:hAnsi="Calibri" w:cs="Calibri"/>
              </w:rPr>
              <w:t xml:space="preserve"> </w:t>
            </w:r>
            <w:r w:rsidR="00AF09E2" w:rsidRPr="00AF09E2">
              <w:rPr>
                <w:rFonts w:ascii="Calibri" w:hAnsi="Calibri" w:cs="Calibri"/>
              </w:rPr>
              <w:t>HSA, you cannot participate in</w:t>
            </w:r>
            <w:r w:rsidR="00AF09E2">
              <w:rPr>
                <w:rFonts w:ascii="Calibri" w:hAnsi="Calibri" w:cs="Calibri"/>
              </w:rPr>
              <w:t xml:space="preserve"> </w:t>
            </w:r>
            <w:r w:rsidR="00AF09E2" w:rsidRPr="00AF09E2">
              <w:rPr>
                <w:rFonts w:ascii="Calibri" w:hAnsi="Calibri" w:cs="Calibri"/>
              </w:rPr>
              <w:t>the Health Care FSA</w:t>
            </w:r>
            <w:r w:rsidR="00AF09E2">
              <w:rPr>
                <w:rFonts w:ascii="Calibri" w:hAnsi="Calibri" w:cs="Calibri"/>
              </w:rPr>
              <w:t>, you are instead eligible for the Limited-Purpose FSA</w:t>
            </w:r>
            <w:r w:rsidR="00AF09E2" w:rsidRPr="00AF09E2">
              <w:rPr>
                <w:rFonts w:ascii="Calibri" w:hAnsi="Calibri" w:cs="Calibri"/>
              </w:rPr>
              <w:t>.</w:t>
            </w:r>
          </w:p>
          <w:p w14:paraId="1C2FBB35" w14:textId="77777777" w:rsidR="00895B2D" w:rsidRPr="00895B2D" w:rsidRDefault="00895B2D" w:rsidP="00895B2D">
            <w:pPr>
              <w:ind w:right="432"/>
              <w:rPr>
                <w:rFonts w:ascii="Calibri" w:hAnsi="Calibri" w:cs="Calibri"/>
              </w:rPr>
            </w:pPr>
          </w:p>
          <w:p w14:paraId="2993DFB5" w14:textId="7320659D" w:rsidR="00895B2D" w:rsidRPr="00895B2D" w:rsidRDefault="00895B2D" w:rsidP="00895B2D">
            <w:pPr>
              <w:ind w:right="432"/>
              <w:rPr>
                <w:rFonts w:ascii="Calibri" w:hAnsi="Calibri" w:cs="Calibri"/>
                <w:b/>
                <w:bCs/>
              </w:rPr>
            </w:pPr>
            <w:r w:rsidRPr="00895B2D">
              <w:rPr>
                <w:rFonts w:ascii="Calibri" w:hAnsi="Calibri" w:cs="Calibri"/>
                <w:b/>
                <w:bCs/>
              </w:rPr>
              <w:t xml:space="preserve">Limited-Purpose FSA </w:t>
            </w:r>
          </w:p>
          <w:p w14:paraId="65B233A0" w14:textId="2748CE46" w:rsidR="00895B2D" w:rsidRDefault="00895B2D" w:rsidP="00895B2D">
            <w:pPr>
              <w:ind w:right="432"/>
              <w:rPr>
                <w:rFonts w:ascii="Calibri" w:hAnsi="Calibri" w:cs="Calibri"/>
              </w:rPr>
            </w:pPr>
            <w:r w:rsidRPr="00895B2D">
              <w:rPr>
                <w:rFonts w:ascii="Calibri" w:hAnsi="Calibri" w:cs="Calibri"/>
              </w:rPr>
              <w:t>The Limited-Purpose FSA can be used for eligible dental</w:t>
            </w:r>
            <w:r>
              <w:rPr>
                <w:rFonts w:ascii="Calibri" w:hAnsi="Calibri" w:cs="Calibri"/>
              </w:rPr>
              <w:t xml:space="preserve"> </w:t>
            </w:r>
            <w:r w:rsidRPr="00895B2D">
              <w:rPr>
                <w:rFonts w:ascii="Calibri" w:hAnsi="Calibri" w:cs="Calibri"/>
              </w:rPr>
              <w:t>and vision expenses only, until your medical plan deductible</w:t>
            </w:r>
            <w:r>
              <w:rPr>
                <w:rFonts w:ascii="Calibri" w:hAnsi="Calibri" w:cs="Calibri"/>
              </w:rPr>
              <w:t xml:space="preserve"> </w:t>
            </w:r>
            <w:r w:rsidRPr="00895B2D">
              <w:rPr>
                <w:rFonts w:ascii="Calibri" w:hAnsi="Calibri" w:cs="Calibri"/>
              </w:rPr>
              <w:t>has been reached. Think exams, cleanings, fillings, braces,</w:t>
            </w:r>
            <w:r>
              <w:rPr>
                <w:rFonts w:ascii="Calibri" w:hAnsi="Calibri" w:cs="Calibri"/>
              </w:rPr>
              <w:t xml:space="preserve"> </w:t>
            </w:r>
            <w:r w:rsidRPr="00895B2D">
              <w:rPr>
                <w:rFonts w:ascii="Calibri" w:hAnsi="Calibri" w:cs="Calibri"/>
              </w:rPr>
              <w:t>glasses, contact lenses, and even LASIK. If you have</w:t>
            </w:r>
            <w:r>
              <w:rPr>
                <w:rFonts w:ascii="Calibri" w:hAnsi="Calibri" w:cs="Calibri"/>
              </w:rPr>
              <w:t xml:space="preserve"> </w:t>
            </w:r>
            <w:r w:rsidRPr="00895B2D">
              <w:rPr>
                <w:rFonts w:ascii="Calibri" w:hAnsi="Calibri" w:cs="Calibri"/>
              </w:rPr>
              <w:t>upcoming appointments or need to stock up on supplies,</w:t>
            </w:r>
            <w:r>
              <w:rPr>
                <w:rFonts w:ascii="Calibri" w:hAnsi="Calibri" w:cs="Calibri"/>
              </w:rPr>
              <w:t xml:space="preserve"> </w:t>
            </w:r>
            <w:r w:rsidRPr="00895B2D">
              <w:rPr>
                <w:rFonts w:ascii="Calibri" w:hAnsi="Calibri" w:cs="Calibri"/>
              </w:rPr>
              <w:t>your FSA can help cover those costs.</w:t>
            </w:r>
          </w:p>
          <w:p w14:paraId="080F4758" w14:textId="77777777" w:rsidR="00AF09E2" w:rsidRDefault="00AF09E2" w:rsidP="00895B2D">
            <w:pPr>
              <w:ind w:right="432"/>
              <w:rPr>
                <w:rFonts w:ascii="Calibri" w:hAnsi="Calibri" w:cs="Calibri"/>
              </w:rPr>
            </w:pPr>
          </w:p>
          <w:p w14:paraId="5E706ACB" w14:textId="5EFC0781" w:rsidR="00AF09E2" w:rsidRPr="00AF09E2" w:rsidRDefault="00AF09E2" w:rsidP="00895B2D">
            <w:pPr>
              <w:ind w:right="432"/>
              <w:rPr>
                <w:rFonts w:ascii="Calibri" w:hAnsi="Calibri" w:cs="Calibri"/>
                <w:b/>
                <w:bCs/>
              </w:rPr>
            </w:pPr>
            <w:r w:rsidRPr="00AF09E2">
              <w:rPr>
                <w:rFonts w:ascii="Calibri" w:hAnsi="Calibri" w:cs="Calibri"/>
                <w:b/>
                <w:bCs/>
              </w:rPr>
              <w:t>Dependent Care FSA</w:t>
            </w:r>
          </w:p>
          <w:p w14:paraId="2ABDAA5E" w14:textId="77777777" w:rsidR="00635234" w:rsidRDefault="00AF09E2" w:rsidP="00635234">
            <w:pPr>
              <w:ind w:right="432"/>
              <w:rPr>
                <w:rFonts w:ascii="Calibri" w:hAnsi="Calibri" w:cs="Calibri"/>
              </w:rPr>
            </w:pPr>
            <w:r>
              <w:rPr>
                <w:rFonts w:ascii="Calibri" w:hAnsi="Calibri" w:cs="Calibri"/>
              </w:rPr>
              <w:t xml:space="preserve">You can use your Dependent Care FSA to pay for child or eldercare expenses </w:t>
            </w:r>
            <w:r w:rsidRPr="00AF09E2">
              <w:rPr>
                <w:rFonts w:ascii="Calibri" w:hAnsi="Calibri" w:cs="Calibri"/>
              </w:rPr>
              <w:t>that allow</w:t>
            </w:r>
            <w:r>
              <w:rPr>
                <w:rFonts w:ascii="Calibri" w:hAnsi="Calibri" w:cs="Calibri"/>
              </w:rPr>
              <w:t xml:space="preserve"> </w:t>
            </w:r>
            <w:r w:rsidRPr="00AF09E2">
              <w:rPr>
                <w:rFonts w:ascii="Calibri" w:hAnsi="Calibri" w:cs="Calibri"/>
              </w:rPr>
              <w:t>you to work or attend</w:t>
            </w:r>
            <w:r>
              <w:rPr>
                <w:rFonts w:ascii="Calibri" w:hAnsi="Calibri" w:cs="Calibri"/>
              </w:rPr>
              <w:t xml:space="preserve"> </w:t>
            </w:r>
            <w:r w:rsidRPr="00AF09E2">
              <w:rPr>
                <w:rFonts w:ascii="Calibri" w:hAnsi="Calibri" w:cs="Calibri"/>
              </w:rPr>
              <w:t>school full time.</w:t>
            </w:r>
            <w:r w:rsidRPr="00AF09E2">
              <w:rPr>
                <w:rFonts w:ascii="Roboto" w:hAnsi="Roboto"/>
                <w:color w:val="0A0A0A"/>
                <w:shd w:val="clear" w:color="auto" w:fill="FFFFFF"/>
              </w:rPr>
              <w:t xml:space="preserve"> </w:t>
            </w:r>
            <w:r w:rsidRPr="00AF09E2">
              <w:rPr>
                <w:rFonts w:ascii="Calibri" w:hAnsi="Calibri" w:cs="Calibri"/>
              </w:rPr>
              <w:t xml:space="preserve">Eligible expenses include daycare for children under 13, preschool, before/after-school care, summer day camps, and elder care for </w:t>
            </w:r>
            <w:r>
              <w:rPr>
                <w:rFonts w:ascii="Calibri" w:hAnsi="Calibri" w:cs="Calibri"/>
              </w:rPr>
              <w:t>dependents who are incapable of self-care</w:t>
            </w:r>
            <w:r w:rsidRPr="00AF09E2">
              <w:rPr>
                <w:rFonts w:ascii="Calibri" w:hAnsi="Calibri" w:cs="Calibri"/>
              </w:rPr>
              <w:t>.</w:t>
            </w:r>
          </w:p>
          <w:p w14:paraId="7F6DAC6C" w14:textId="279B90E2" w:rsidR="00635234" w:rsidRPr="00635234" w:rsidRDefault="00635234" w:rsidP="00635234">
            <w:pPr>
              <w:ind w:right="432"/>
              <w:rPr>
                <w:rFonts w:ascii="Calibri" w:hAnsi="Calibri" w:cs="Calibri"/>
              </w:rPr>
            </w:pPr>
          </w:p>
        </w:tc>
      </w:tr>
      <w:tr w:rsidR="00635234" w14:paraId="36D51536" w14:textId="77777777" w:rsidTr="00635234">
        <w:tc>
          <w:tcPr>
            <w:tcW w:w="9360" w:type="dxa"/>
            <w:tcBorders>
              <w:top w:val="single" w:sz="4" w:space="0" w:color="FFFFFF" w:themeColor="background1"/>
              <w:left w:val="nil"/>
              <w:bottom w:val="nil"/>
              <w:right w:val="nil"/>
            </w:tcBorders>
            <w:shd w:val="clear" w:color="auto" w:fill="F2F2F2" w:themeFill="background1" w:themeFillShade="F2"/>
            <w:vAlign w:val="center"/>
          </w:tcPr>
          <w:p w14:paraId="21E4B402" w14:textId="3DDD3ED2" w:rsidR="00635234" w:rsidRPr="00635234" w:rsidRDefault="00635234" w:rsidP="00635234">
            <w:pPr>
              <w:spacing w:before="120"/>
              <w:ind w:right="432"/>
              <w:rPr>
                <w:rFonts w:ascii="Calibri" w:hAnsi="Calibri" w:cs="Calibri"/>
                <w:color w:val="000000" w:themeColor="text1"/>
                <w:sz w:val="28"/>
                <w:szCs w:val="28"/>
              </w:rPr>
            </w:pPr>
            <w:r w:rsidRPr="00635234">
              <w:rPr>
                <w:rFonts w:ascii="Calibri" w:hAnsi="Calibri" w:cs="Calibri"/>
                <w:b/>
                <w:bCs/>
                <w:color w:val="0060A9"/>
                <w:sz w:val="28"/>
                <w:szCs w:val="28"/>
              </w:rPr>
              <w:lastRenderedPageBreak/>
              <w:t>Don’t Forget About the Lifestyle Spending Account</w:t>
            </w:r>
            <w:r>
              <w:rPr>
                <w:rFonts w:ascii="Calibri" w:hAnsi="Calibri" w:cs="Calibri"/>
                <w:b/>
                <w:bCs/>
                <w:color w:val="0060A9"/>
                <w:sz w:val="28"/>
                <w:szCs w:val="28"/>
              </w:rPr>
              <w:t xml:space="preserve"> (LSA)</w:t>
            </w:r>
            <w:r w:rsidRPr="00635234">
              <w:rPr>
                <w:rFonts w:ascii="Calibri" w:hAnsi="Calibri" w:cs="Calibri"/>
                <w:b/>
                <w:bCs/>
                <w:color w:val="0060A9"/>
                <w:sz w:val="28"/>
                <w:szCs w:val="28"/>
              </w:rPr>
              <w:t>!</w:t>
            </w:r>
            <w:r w:rsidRPr="00635234">
              <w:rPr>
                <w:rFonts w:ascii="Calibri" w:hAnsi="Calibri" w:cs="Calibri"/>
                <w:color w:val="000000" w:themeColor="text1"/>
                <w:sz w:val="28"/>
                <w:szCs w:val="28"/>
              </w:rPr>
              <w:t xml:space="preserve"> </w:t>
            </w:r>
          </w:p>
          <w:p w14:paraId="37C81333" w14:textId="77777777" w:rsidR="00635234" w:rsidRDefault="00635234" w:rsidP="00635234">
            <w:pPr>
              <w:spacing w:before="120"/>
              <w:ind w:right="432"/>
              <w:rPr>
                <w:rFonts w:ascii="Calibri" w:hAnsi="Calibri" w:cs="Calibri"/>
                <w:color w:val="000000" w:themeColor="text1"/>
              </w:rPr>
            </w:pPr>
            <w:r w:rsidRPr="00635234">
              <w:rPr>
                <w:rFonts w:ascii="Calibri" w:hAnsi="Calibri" w:cs="Calibri"/>
                <w:color w:val="000000" w:themeColor="text1"/>
              </w:rPr>
              <w:t>The LSA is a flexible and inclusive wellness program that is designed to support your health by providing money you can spend toward personal, everyday wellness needs. The LSA is funded by TG and is available to all team members, regardless of whether you’re enrolled in our medical plans.</w:t>
            </w:r>
          </w:p>
          <w:p w14:paraId="4609F66E" w14:textId="77777777" w:rsidR="00635234" w:rsidRPr="00635234" w:rsidRDefault="00635234" w:rsidP="00635234">
            <w:pPr>
              <w:spacing w:before="120"/>
              <w:ind w:right="432"/>
              <w:rPr>
                <w:rFonts w:ascii="Calibri" w:hAnsi="Calibri" w:cs="Calibri"/>
                <w:color w:val="000000" w:themeColor="text1"/>
              </w:rPr>
            </w:pPr>
            <w:r w:rsidRPr="00635234">
              <w:rPr>
                <w:rFonts w:ascii="Calibri" w:hAnsi="Calibri" w:cs="Calibri"/>
                <w:color w:val="000000" w:themeColor="text1"/>
              </w:rPr>
              <w:t>Use your LSA to pay for things like:</w:t>
            </w:r>
          </w:p>
          <w:p w14:paraId="073FA618" w14:textId="77777777" w:rsidR="00635234" w:rsidRPr="00635234" w:rsidRDefault="00635234" w:rsidP="00635234">
            <w:pPr>
              <w:pStyle w:val="ListParagraph"/>
              <w:numPr>
                <w:ilvl w:val="0"/>
                <w:numId w:val="7"/>
              </w:numPr>
              <w:spacing w:before="120"/>
              <w:ind w:right="432"/>
              <w:rPr>
                <w:rFonts w:ascii="Calibri" w:hAnsi="Calibri" w:cs="Calibri"/>
                <w:color w:val="000000" w:themeColor="text1"/>
              </w:rPr>
            </w:pPr>
            <w:r w:rsidRPr="00635234">
              <w:rPr>
                <w:rFonts w:ascii="Calibri" w:hAnsi="Calibri" w:cs="Calibri"/>
                <w:color w:val="000000" w:themeColor="text1"/>
              </w:rPr>
              <w:t>Gym memberships &amp; Fitness Classes</w:t>
            </w:r>
          </w:p>
          <w:p w14:paraId="2FD388D0" w14:textId="77777777" w:rsidR="00635234" w:rsidRPr="00635234" w:rsidRDefault="00635234" w:rsidP="00635234">
            <w:pPr>
              <w:pStyle w:val="ListParagraph"/>
              <w:numPr>
                <w:ilvl w:val="0"/>
                <w:numId w:val="7"/>
              </w:numPr>
              <w:spacing w:before="120"/>
              <w:ind w:right="432"/>
              <w:rPr>
                <w:rFonts w:ascii="Calibri" w:hAnsi="Calibri" w:cs="Calibri"/>
                <w:color w:val="000000" w:themeColor="text1"/>
              </w:rPr>
            </w:pPr>
            <w:r w:rsidRPr="00635234">
              <w:rPr>
                <w:rFonts w:ascii="Calibri" w:hAnsi="Calibri" w:cs="Calibri"/>
                <w:color w:val="000000" w:themeColor="text1"/>
              </w:rPr>
              <w:t>Fitness Accessories</w:t>
            </w:r>
          </w:p>
          <w:p w14:paraId="61345FD6" w14:textId="77777777" w:rsidR="00635234" w:rsidRPr="00635234" w:rsidRDefault="00635234" w:rsidP="00635234">
            <w:pPr>
              <w:pStyle w:val="ListParagraph"/>
              <w:numPr>
                <w:ilvl w:val="0"/>
                <w:numId w:val="7"/>
              </w:numPr>
              <w:spacing w:before="120"/>
              <w:ind w:right="432"/>
              <w:rPr>
                <w:rFonts w:ascii="Calibri" w:hAnsi="Calibri" w:cs="Calibri"/>
                <w:color w:val="000000" w:themeColor="text1"/>
              </w:rPr>
            </w:pPr>
            <w:r w:rsidRPr="00635234">
              <w:rPr>
                <w:rFonts w:ascii="Calibri" w:hAnsi="Calibri" w:cs="Calibri"/>
                <w:color w:val="000000" w:themeColor="text1"/>
              </w:rPr>
              <w:t>Digital Health Apps</w:t>
            </w:r>
          </w:p>
          <w:p w14:paraId="314D9180" w14:textId="77777777" w:rsidR="00635234" w:rsidRPr="00635234" w:rsidRDefault="00635234" w:rsidP="00635234">
            <w:pPr>
              <w:pStyle w:val="ListParagraph"/>
              <w:numPr>
                <w:ilvl w:val="0"/>
                <w:numId w:val="7"/>
              </w:numPr>
              <w:spacing w:before="120"/>
              <w:ind w:right="432"/>
              <w:rPr>
                <w:rFonts w:ascii="Calibri" w:hAnsi="Calibri" w:cs="Calibri"/>
                <w:color w:val="000000" w:themeColor="text1"/>
              </w:rPr>
            </w:pPr>
            <w:r w:rsidRPr="00635234">
              <w:rPr>
                <w:rFonts w:ascii="Calibri" w:hAnsi="Calibri" w:cs="Calibri"/>
                <w:color w:val="000000" w:themeColor="text1"/>
              </w:rPr>
              <w:t>Financial Wellbeing Services</w:t>
            </w:r>
          </w:p>
          <w:p w14:paraId="602D40E8" w14:textId="07D39F8A" w:rsidR="00635234" w:rsidRPr="00635234" w:rsidRDefault="00635234" w:rsidP="00635234">
            <w:pPr>
              <w:pStyle w:val="ListParagraph"/>
              <w:numPr>
                <w:ilvl w:val="0"/>
                <w:numId w:val="7"/>
              </w:numPr>
              <w:spacing w:before="120"/>
              <w:ind w:right="432"/>
              <w:rPr>
                <w:rFonts w:ascii="Calibri" w:hAnsi="Calibri" w:cs="Calibri"/>
                <w:color w:val="000000" w:themeColor="text1"/>
              </w:rPr>
            </w:pPr>
            <w:r w:rsidRPr="00635234">
              <w:rPr>
                <w:rFonts w:ascii="Calibri" w:hAnsi="Calibri" w:cs="Calibri"/>
                <w:color w:val="000000" w:themeColor="text1"/>
              </w:rPr>
              <w:t xml:space="preserve">and </w:t>
            </w:r>
            <w:proofErr w:type="gramStart"/>
            <w:r w:rsidRPr="00635234">
              <w:rPr>
                <w:rFonts w:ascii="Calibri" w:hAnsi="Calibri" w:cs="Calibri"/>
                <w:color w:val="000000" w:themeColor="text1"/>
              </w:rPr>
              <w:t>More</w:t>
            </w:r>
            <w:proofErr w:type="gramEnd"/>
            <w:r w:rsidRPr="00635234">
              <w:rPr>
                <w:rFonts w:ascii="Calibri" w:hAnsi="Calibri" w:cs="Calibri"/>
                <w:color w:val="000000" w:themeColor="text1"/>
              </w:rPr>
              <w:t>!</w:t>
            </w:r>
          </w:p>
          <w:p w14:paraId="1ADA8670" w14:textId="02694C8C" w:rsidR="00635234" w:rsidRPr="00AF09E2" w:rsidRDefault="00635234" w:rsidP="00635234">
            <w:pPr>
              <w:spacing w:before="120"/>
              <w:rPr>
                <w:rFonts w:ascii="Calibri" w:hAnsi="Calibri" w:cs="Calibri"/>
              </w:rPr>
            </w:pPr>
            <w:r>
              <w:rPr>
                <w:rFonts w:ascii="Calibri" w:hAnsi="Calibri" w:cs="Calibri"/>
              </w:rPr>
              <w:t>Log in to</w:t>
            </w:r>
            <w:r w:rsidRPr="00895B2D">
              <w:rPr>
                <w:rFonts w:ascii="Calibri" w:hAnsi="Calibri" w:cs="Calibri"/>
              </w:rPr>
              <w:t xml:space="preserve"> </w:t>
            </w:r>
            <w:hyperlink r:id="rId8" w:history="1">
              <w:r w:rsidRPr="00895B2D">
                <w:rPr>
                  <w:rStyle w:val="Hyperlink"/>
                  <w:rFonts w:ascii="Calibri" w:hAnsi="Calibri" w:cs="Calibri"/>
                  <w:b/>
                  <w:bCs/>
                </w:rPr>
                <w:t>livelyme.com</w:t>
              </w:r>
            </w:hyperlink>
            <w:r w:rsidRPr="00895B2D">
              <w:rPr>
                <w:rFonts w:ascii="Calibri" w:hAnsi="Calibri" w:cs="Calibri"/>
                <w:b/>
                <w:bCs/>
              </w:rPr>
              <w:t xml:space="preserve"> </w:t>
            </w:r>
            <w:r w:rsidRPr="00895B2D">
              <w:rPr>
                <w:rFonts w:ascii="Calibri" w:hAnsi="Calibri" w:cs="Calibri"/>
              </w:rPr>
              <w:t xml:space="preserve">or call </w:t>
            </w:r>
            <w:r w:rsidRPr="00895B2D">
              <w:rPr>
                <w:rFonts w:ascii="Calibri" w:hAnsi="Calibri" w:cs="Calibri"/>
                <w:b/>
                <w:bCs/>
              </w:rPr>
              <w:t>8</w:t>
            </w:r>
            <w:r>
              <w:rPr>
                <w:rFonts w:ascii="Calibri" w:hAnsi="Calibri" w:cs="Calibri"/>
                <w:b/>
                <w:bCs/>
              </w:rPr>
              <w:t>88-576-4837</w:t>
            </w:r>
            <w:r w:rsidRPr="00895B2D">
              <w:rPr>
                <w:rFonts w:ascii="Calibri" w:hAnsi="Calibri" w:cs="Calibri"/>
              </w:rPr>
              <w:t xml:space="preserve"> </w:t>
            </w:r>
            <w:r w:rsidRPr="00AF09E2">
              <w:rPr>
                <w:rFonts w:ascii="Calibri" w:hAnsi="Calibri" w:cs="Calibri"/>
              </w:rPr>
              <w:t>to review your</w:t>
            </w:r>
            <w:r>
              <w:rPr>
                <w:rFonts w:ascii="Calibri" w:hAnsi="Calibri" w:cs="Calibri"/>
              </w:rPr>
              <w:t xml:space="preserve"> balance</w:t>
            </w:r>
            <w:r w:rsidRPr="00AF09E2">
              <w:rPr>
                <w:rFonts w:ascii="Calibri" w:hAnsi="Calibri" w:cs="Calibri"/>
              </w:rPr>
              <w:t xml:space="preserve"> or submit a claim for reimbursement.</w:t>
            </w:r>
          </w:p>
          <w:p w14:paraId="03CBA712" w14:textId="6C4EB0E2" w:rsidR="00635234" w:rsidRPr="00635234" w:rsidRDefault="00635234" w:rsidP="00635234">
            <w:pPr>
              <w:spacing w:before="120"/>
              <w:ind w:right="432"/>
              <w:rPr>
                <w:rFonts w:ascii="Calibri" w:hAnsi="Calibri" w:cs="Calibri"/>
                <w:b/>
                <w:bCs/>
                <w:color w:val="0060A9"/>
                <w:kern w:val="0"/>
                <w14:ligatures w14:val="none"/>
              </w:rPr>
            </w:pPr>
          </w:p>
        </w:tc>
      </w:tr>
      <w:tr w:rsidR="00107AED" w14:paraId="5273CF7C" w14:textId="77777777" w:rsidTr="0089368D">
        <w:tc>
          <w:tcPr>
            <w:tcW w:w="9360" w:type="dxa"/>
            <w:tcBorders>
              <w:top w:val="nil"/>
              <w:left w:val="nil"/>
              <w:bottom w:val="nil"/>
              <w:right w:val="nil"/>
            </w:tcBorders>
            <w:shd w:val="clear" w:color="auto" w:fill="0060A9"/>
          </w:tcPr>
          <w:p w14:paraId="63DCBEF4" w14:textId="77777777" w:rsidR="00107AED" w:rsidRPr="00D97219" w:rsidRDefault="00107AED" w:rsidP="00107AED">
            <w:pPr>
              <w:spacing w:before="120" w:after="120"/>
              <w:jc w:val="center"/>
              <w:rPr>
                <w:rFonts w:ascii="Calibri" w:hAnsi="Calibri" w:cs="Calibri"/>
                <w:b/>
                <w:bCs/>
                <w:color w:val="FFFFFF" w:themeColor="background1"/>
                <w:sz w:val="28"/>
                <w:szCs w:val="28"/>
              </w:rPr>
            </w:pPr>
            <w:r w:rsidRPr="00D97219">
              <w:rPr>
                <w:rFonts w:ascii="Calibri" w:hAnsi="Calibri" w:cs="Calibri"/>
                <w:b/>
                <w:bCs/>
                <w:color w:val="FFFFFF" w:themeColor="background1"/>
                <w:sz w:val="28"/>
                <w:szCs w:val="28"/>
              </w:rPr>
              <w:t xml:space="preserve">Want More Details About Your TG Benefits? </w:t>
            </w:r>
          </w:p>
          <w:p w14:paraId="3491A500" w14:textId="73EDEC11" w:rsidR="00107AED" w:rsidRPr="00107AED" w:rsidRDefault="00107AED" w:rsidP="00895B2D">
            <w:pPr>
              <w:spacing w:before="120" w:after="120"/>
              <w:jc w:val="center"/>
              <w:rPr>
                <w:rFonts w:ascii="Calibri" w:hAnsi="Calibri" w:cs="Calibri"/>
                <w:b/>
                <w:bCs/>
                <w:color w:val="FFFFFF" w:themeColor="background1"/>
              </w:rPr>
            </w:pPr>
            <w:r w:rsidRPr="00D97219">
              <w:rPr>
                <w:rFonts w:ascii="Calibri" w:hAnsi="Calibri" w:cs="Calibri"/>
                <w:b/>
                <w:bCs/>
                <w:color w:val="FFFFFF" w:themeColor="background1"/>
              </w:rPr>
              <w:lastRenderedPageBreak/>
              <w:t xml:space="preserve">Be sure to visit our benefits website, </w:t>
            </w:r>
            <w:hyperlink r:id="rId9" w:history="1">
              <w:r w:rsidRPr="00D97219">
                <w:rPr>
                  <w:rStyle w:val="Hyperlink"/>
                  <w:rFonts w:ascii="Calibri" w:hAnsi="Calibri" w:cs="Calibri"/>
                  <w:b/>
                  <w:bCs/>
                  <w:color w:val="FFFFFF" w:themeColor="background1"/>
                </w:rPr>
                <w:t>tggroupbenefits.com</w:t>
              </w:r>
            </w:hyperlink>
            <w:r w:rsidRPr="00D97219">
              <w:rPr>
                <w:rFonts w:ascii="Calibri" w:hAnsi="Calibri" w:cs="Calibri"/>
                <w:b/>
                <w:bCs/>
                <w:color w:val="FFFFFF" w:themeColor="background1"/>
              </w:rPr>
              <w:t xml:space="preserve"> </w:t>
            </w:r>
            <w:r w:rsidR="00895B2D">
              <w:rPr>
                <w:rFonts w:ascii="Calibri" w:hAnsi="Calibri" w:cs="Calibri"/>
                <w:b/>
                <w:bCs/>
                <w:color w:val="FFFFFF" w:themeColor="background1"/>
              </w:rPr>
              <w:br/>
            </w:r>
            <w:r w:rsidRPr="00D97219">
              <w:rPr>
                <w:rFonts w:ascii="Calibri" w:hAnsi="Calibri" w:cs="Calibri"/>
                <w:b/>
                <w:bCs/>
                <w:color w:val="FFFFFF" w:themeColor="background1"/>
              </w:rPr>
              <w:t xml:space="preserve">(password: TGNA; location: United States). </w:t>
            </w:r>
            <w:r w:rsidRPr="00D97219">
              <w:rPr>
                <w:rFonts w:ascii="Calibri" w:hAnsi="Calibri" w:cs="Calibri"/>
                <w:b/>
                <w:bCs/>
                <w:color w:val="FFFFFF" w:themeColor="background1"/>
              </w:rPr>
              <w:br/>
            </w:r>
            <w:r w:rsidR="00750337">
              <w:rPr>
                <w:rFonts w:ascii="Calibri" w:hAnsi="Calibri" w:cs="Calibri"/>
                <w:b/>
                <w:bCs/>
                <w:color w:val="FFFFFF" w:themeColor="background1"/>
              </w:rPr>
              <w:t>T</w:t>
            </w:r>
            <w:r w:rsidRPr="00D97219">
              <w:rPr>
                <w:rFonts w:ascii="Calibri" w:hAnsi="Calibri" w:cs="Calibri"/>
                <w:b/>
                <w:bCs/>
                <w:color w:val="FFFFFF" w:themeColor="background1"/>
              </w:rPr>
              <w:t xml:space="preserve">here, you’ll find helpful information about all your benefits. </w:t>
            </w:r>
          </w:p>
        </w:tc>
      </w:tr>
    </w:tbl>
    <w:p w14:paraId="0EC00C67" w14:textId="77777777" w:rsidR="00632DF5" w:rsidRDefault="00632DF5" w:rsidP="00750337"/>
    <w:sectPr w:rsidR="0063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7FE"/>
    <w:multiLevelType w:val="hybridMultilevel"/>
    <w:tmpl w:val="51EA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35DD"/>
    <w:multiLevelType w:val="hybridMultilevel"/>
    <w:tmpl w:val="4AB6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60AD"/>
    <w:multiLevelType w:val="hybridMultilevel"/>
    <w:tmpl w:val="341A5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A9454F"/>
    <w:multiLevelType w:val="hybridMultilevel"/>
    <w:tmpl w:val="674EB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AF7586"/>
    <w:multiLevelType w:val="hybridMultilevel"/>
    <w:tmpl w:val="ACDC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33F3F"/>
    <w:multiLevelType w:val="hybridMultilevel"/>
    <w:tmpl w:val="3B72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87B7E"/>
    <w:multiLevelType w:val="hybridMultilevel"/>
    <w:tmpl w:val="AE0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996548">
    <w:abstractNumId w:val="5"/>
  </w:num>
  <w:num w:numId="2" w16cid:durableId="1425371709">
    <w:abstractNumId w:val="6"/>
  </w:num>
  <w:num w:numId="3" w16cid:durableId="324403300">
    <w:abstractNumId w:val="3"/>
  </w:num>
  <w:num w:numId="4" w16cid:durableId="368145555">
    <w:abstractNumId w:val="1"/>
  </w:num>
  <w:num w:numId="5" w16cid:durableId="621883109">
    <w:abstractNumId w:val="4"/>
  </w:num>
  <w:num w:numId="6" w16cid:durableId="310601578">
    <w:abstractNumId w:val="2"/>
  </w:num>
  <w:num w:numId="7" w16cid:durableId="92958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7"/>
    <w:rsid w:val="00037F2E"/>
    <w:rsid w:val="00107AED"/>
    <w:rsid w:val="00165F0D"/>
    <w:rsid w:val="001B15FB"/>
    <w:rsid w:val="00223BC6"/>
    <w:rsid w:val="003D56A3"/>
    <w:rsid w:val="00417C78"/>
    <w:rsid w:val="00466B73"/>
    <w:rsid w:val="006155FF"/>
    <w:rsid w:val="00632DF5"/>
    <w:rsid w:val="00635234"/>
    <w:rsid w:val="0072381C"/>
    <w:rsid w:val="00750337"/>
    <w:rsid w:val="007F0296"/>
    <w:rsid w:val="00890B86"/>
    <w:rsid w:val="0089368D"/>
    <w:rsid w:val="00895B2D"/>
    <w:rsid w:val="00950306"/>
    <w:rsid w:val="0096528C"/>
    <w:rsid w:val="0097761C"/>
    <w:rsid w:val="009C48C5"/>
    <w:rsid w:val="00A75398"/>
    <w:rsid w:val="00AF09E2"/>
    <w:rsid w:val="00BD5DC6"/>
    <w:rsid w:val="00C357E5"/>
    <w:rsid w:val="00C607F7"/>
    <w:rsid w:val="00CA7580"/>
    <w:rsid w:val="00DE43EE"/>
    <w:rsid w:val="00E91783"/>
    <w:rsid w:val="00EA69BD"/>
    <w:rsid w:val="00EC4597"/>
    <w:rsid w:val="00F16D87"/>
    <w:rsid w:val="00FD7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950B"/>
  <w15:chartTrackingRefBased/>
  <w15:docId w15:val="{29D5018B-204F-4EA3-BB8A-DFFE7C50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87"/>
    <w:rPr>
      <w:rFonts w:eastAsiaTheme="majorEastAsia" w:cstheme="majorBidi"/>
      <w:color w:val="272727" w:themeColor="text1" w:themeTint="D8"/>
    </w:rPr>
  </w:style>
  <w:style w:type="paragraph" w:styleId="Title">
    <w:name w:val="Title"/>
    <w:basedOn w:val="Normal"/>
    <w:next w:val="Normal"/>
    <w:link w:val="TitleChar"/>
    <w:uiPriority w:val="10"/>
    <w:qFormat/>
    <w:rsid w:val="00F1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87"/>
    <w:pPr>
      <w:spacing w:before="160"/>
      <w:jc w:val="center"/>
    </w:pPr>
    <w:rPr>
      <w:i/>
      <w:iCs/>
      <w:color w:val="404040" w:themeColor="text1" w:themeTint="BF"/>
    </w:rPr>
  </w:style>
  <w:style w:type="character" w:customStyle="1" w:styleId="QuoteChar">
    <w:name w:val="Quote Char"/>
    <w:basedOn w:val="DefaultParagraphFont"/>
    <w:link w:val="Quote"/>
    <w:uiPriority w:val="29"/>
    <w:rsid w:val="00F16D87"/>
    <w:rPr>
      <w:i/>
      <w:iCs/>
      <w:color w:val="404040" w:themeColor="text1" w:themeTint="BF"/>
    </w:rPr>
  </w:style>
  <w:style w:type="paragraph" w:styleId="ListParagraph">
    <w:name w:val="List Paragraph"/>
    <w:basedOn w:val="Normal"/>
    <w:uiPriority w:val="34"/>
    <w:qFormat/>
    <w:rsid w:val="00F16D87"/>
    <w:pPr>
      <w:ind w:left="720"/>
      <w:contextualSpacing/>
    </w:pPr>
  </w:style>
  <w:style w:type="character" w:styleId="IntenseEmphasis">
    <w:name w:val="Intense Emphasis"/>
    <w:basedOn w:val="DefaultParagraphFont"/>
    <w:uiPriority w:val="21"/>
    <w:qFormat/>
    <w:rsid w:val="00F16D87"/>
    <w:rPr>
      <w:i/>
      <w:iCs/>
      <w:color w:val="0F4761" w:themeColor="accent1" w:themeShade="BF"/>
    </w:rPr>
  </w:style>
  <w:style w:type="paragraph" w:styleId="IntenseQuote">
    <w:name w:val="Intense Quote"/>
    <w:basedOn w:val="Normal"/>
    <w:next w:val="Normal"/>
    <w:link w:val="IntenseQuoteChar"/>
    <w:uiPriority w:val="30"/>
    <w:qFormat/>
    <w:rsid w:val="00F1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87"/>
    <w:rPr>
      <w:i/>
      <w:iCs/>
      <w:color w:val="0F4761" w:themeColor="accent1" w:themeShade="BF"/>
    </w:rPr>
  </w:style>
  <w:style w:type="character" w:styleId="IntenseReference">
    <w:name w:val="Intense Reference"/>
    <w:basedOn w:val="DefaultParagraphFont"/>
    <w:uiPriority w:val="32"/>
    <w:qFormat/>
    <w:rsid w:val="00F16D87"/>
    <w:rPr>
      <w:b/>
      <w:bCs/>
      <w:smallCaps/>
      <w:color w:val="0F4761" w:themeColor="accent1" w:themeShade="BF"/>
      <w:spacing w:val="5"/>
    </w:rPr>
  </w:style>
  <w:style w:type="table" w:styleId="TableGrid">
    <w:name w:val="Table Grid"/>
    <w:basedOn w:val="TableNormal"/>
    <w:uiPriority w:val="39"/>
    <w:rsid w:val="00F16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D87"/>
    <w:rPr>
      <w:color w:val="467886" w:themeColor="hyperlink"/>
      <w:u w:val="single"/>
    </w:rPr>
  </w:style>
  <w:style w:type="paragraph" w:customStyle="1" w:styleId="Pa12">
    <w:name w:val="Pa12"/>
    <w:basedOn w:val="Normal"/>
    <w:next w:val="Normal"/>
    <w:uiPriority w:val="99"/>
    <w:rsid w:val="00107AED"/>
    <w:pPr>
      <w:autoSpaceDE w:val="0"/>
      <w:autoSpaceDN w:val="0"/>
      <w:adjustRightInd w:val="0"/>
      <w:spacing w:after="0" w:line="181" w:lineRule="atLeast"/>
    </w:pPr>
    <w:rPr>
      <w:rFonts w:ascii="Gotham Book" w:hAnsi="Gotham Book"/>
      <w:kern w:val="0"/>
    </w:rPr>
  </w:style>
  <w:style w:type="character" w:styleId="UnresolvedMention">
    <w:name w:val="Unresolved Mention"/>
    <w:basedOn w:val="DefaultParagraphFont"/>
    <w:uiPriority w:val="99"/>
    <w:semiHidden/>
    <w:unhideWhenUsed/>
    <w:rsid w:val="0089368D"/>
    <w:rPr>
      <w:color w:val="605E5C"/>
      <w:shd w:val="clear" w:color="auto" w:fill="E1DFDD"/>
    </w:rPr>
  </w:style>
  <w:style w:type="character" w:styleId="FollowedHyperlink">
    <w:name w:val="FollowedHyperlink"/>
    <w:basedOn w:val="DefaultParagraphFont"/>
    <w:uiPriority w:val="99"/>
    <w:semiHidden/>
    <w:unhideWhenUsed/>
    <w:rsid w:val="00EC45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lyme.com/" TargetMode="External"/><Relationship Id="rId3" Type="http://schemas.openxmlformats.org/officeDocument/2006/relationships/settings" Target="settings.xml"/><Relationship Id="rId7" Type="http://schemas.openxmlformats.org/officeDocument/2006/relationships/hyperlink" Target="https://lively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velyme.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ggroupbenef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Cornell</dc:creator>
  <cp:keywords/>
  <dc:description/>
  <cp:lastModifiedBy>Schott Stacy</cp:lastModifiedBy>
  <cp:revision>3</cp:revision>
  <dcterms:created xsi:type="dcterms:W3CDTF">2026-04-06T18:42:00Z</dcterms:created>
  <dcterms:modified xsi:type="dcterms:W3CDTF">2026-04-06T18:50:00Z</dcterms:modified>
</cp:coreProperties>
</file>